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2324"/>
        <w:tblOverlap w:val="never"/>
        <w:tblW w:w="8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5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大标宋_GBK" w:cs="Times New Roman"/>
                <w:b w:val="0"/>
                <w:bCs w:val="0"/>
                <w:color w:val="FF0000"/>
                <w:w w:val="75"/>
                <w:kern w:val="0"/>
                <w:sz w:val="60"/>
                <w:szCs w:val="60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方正大标宋_GBK" w:cs="Times New Roman"/>
                <w:b w:val="0"/>
                <w:bCs w:val="0"/>
                <w:color w:val="FF0000"/>
                <w:w w:val="75"/>
                <w:kern w:val="0"/>
                <w:sz w:val="70"/>
                <w:szCs w:val="70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color w:val="FF0000"/>
                <w:spacing w:val="6"/>
                <w:w w:val="75"/>
                <w:sz w:val="110"/>
                <w:szCs w:val="110"/>
                <w:lang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color w:val="FF0000"/>
                <w:w w:val="75"/>
                <w:kern w:val="0"/>
                <w:sz w:val="60"/>
                <w:szCs w:val="60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color w:val="FF0000"/>
                <w:w w:val="75"/>
                <w:kern w:val="0"/>
                <w:sz w:val="60"/>
                <w:szCs w:val="60"/>
                <w:lang w:val="en-US" w:eastAsia="zh-CN"/>
              </w:rPr>
              <w:t>台前县人民法院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大标宋_GBK" w:cs="Times New Roman"/>
                <w:b w:val="0"/>
                <w:bCs w:val="0"/>
                <w:color w:val="FF0000"/>
                <w:w w:val="75"/>
                <w:kern w:val="0"/>
                <w:sz w:val="70"/>
                <w:szCs w:val="7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color w:val="FF0000"/>
                <w:w w:val="75"/>
                <w:kern w:val="0"/>
                <w:sz w:val="60"/>
                <w:szCs w:val="60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color w:val="FF0000"/>
                <w:w w:val="75"/>
                <w:kern w:val="0"/>
                <w:sz w:val="60"/>
                <w:szCs w:val="60"/>
                <w:lang w:val="en-US" w:eastAsia="zh-CN"/>
              </w:rPr>
              <w:t>台前县工商业联合会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大标宋_GBK" w:cs="Times New Roman"/>
                <w:b w:val="0"/>
                <w:bCs w:val="0"/>
                <w:color w:val="FF0000"/>
                <w:w w:val="75"/>
                <w:kern w:val="0"/>
                <w:sz w:val="70"/>
                <w:szCs w:val="7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大标宋_GBK" w:cs="Times New Roman"/>
                <w:color w:val="FF0000"/>
                <w:w w:val="75"/>
                <w:kern w:val="0"/>
                <w:sz w:val="60"/>
                <w:szCs w:val="60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大标宋_GBK" w:cs="Times New Roman"/>
                <w:color w:val="FF0000"/>
                <w:w w:val="75"/>
                <w:kern w:val="0"/>
                <w:sz w:val="70"/>
                <w:szCs w:val="7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default" w:ascii="Times New Roman" w:hAnsi="Times New Roman" w:eastAsia="方正大标宋_GBK" w:cs="Times New Roman"/>
          <w:color w:val="FF0000"/>
          <w:w w:val="100"/>
          <w:kern w:val="0"/>
          <w:sz w:val="60"/>
          <w:szCs w:val="60"/>
          <w:lang w:val="en-US" w:eastAsia="zh-CN"/>
        </w:rPr>
      </w:pPr>
    </w:p>
    <w:p>
      <w:pPr>
        <w:spacing w:line="720" w:lineRule="exact"/>
        <w:jc w:val="center"/>
        <w:rPr>
          <w:rFonts w:hint="default" w:ascii="Times New Roman" w:hAnsi="Times New Roman" w:eastAsia="仿宋_GB2312" w:cs="Times New Roman"/>
          <w:color w:val="auto"/>
          <w:sz w:val="31"/>
        </w:rPr>
      </w:pPr>
      <w:r>
        <w:rPr>
          <w:rFonts w:hint="eastAsia" w:ascii="Times New Roman" w:hAnsi="Times New Roman" w:eastAsia="仿宋_GB2312" w:cs="Times New Roman"/>
          <w:color w:val="auto"/>
          <w:sz w:val="31"/>
          <w:lang w:eastAsia="zh-CN"/>
        </w:rPr>
        <w:t>台</w:t>
      </w:r>
      <w:r>
        <w:rPr>
          <w:rFonts w:hint="eastAsia" w:ascii="Times New Roman" w:hAnsi="Times New Roman" w:eastAsia="仿宋_GB2312" w:cs="Times New Roman"/>
          <w:color w:val="auto"/>
          <w:sz w:val="31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color w:val="auto"/>
          <w:sz w:val="31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1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1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1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1"/>
        </w:rPr>
        <w:t>号</w:t>
      </w:r>
    </w:p>
    <w:p>
      <w:pPr>
        <w:spacing w:line="240" w:lineRule="auto"/>
        <w:jc w:val="center"/>
        <w:rPr>
          <w:rFonts w:hint="default" w:ascii="Times New Roman" w:hAnsi="Times New Roman" w:eastAsia="方正大标宋_GBK" w:cs="Times New Roman"/>
          <w:color w:val="auto"/>
          <w:kern w:val="0"/>
          <w:sz w:val="56"/>
          <w:szCs w:val="56"/>
          <w:lang w:val="en-US" w:eastAsia="zh-CN"/>
        </w:rPr>
      </w:pPr>
      <w:r>
        <w:rPr>
          <w:rFonts w:hint="default" w:ascii="Times New Roman" w:hAnsi="Times New Roman" w:eastAsia="MS PGothic" w:cs="Times New Roman"/>
          <w:color w:val="auto"/>
          <w:kern w:val="2"/>
          <w:sz w:val="60"/>
          <w:szCs w:val="6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177800</wp:posOffset>
                </wp:positionV>
                <wp:extent cx="583311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110" cy="635"/>
                        </a:xfrm>
                        <a:prstGeom prst="line">
                          <a:avLst/>
                        </a:prstGeom>
                        <a:ln w="25425" cap="flat" cmpd="sng">
                          <a:solidFill>
                            <a:srgbClr val="FC001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55pt;margin-top:14pt;height:0.05pt;width:459.3pt;z-index:-251657216;mso-width-relative:page;mso-height-relative:page;" filled="f" stroked="t" coordsize="21600,21600" o:allowincell="f" o:gfxdata="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qrHc2AAAAAkBAAAPAAAAAAAAAAEAIAAAACIAAABkcnMvZG93bnJldi54bWxQSwECFAAUAAAACACH&#10;TuJA+r+Ai+sBAADeAwAADgAAAAAAAAABACAAAAAnAQAAZHJzL2Uyb0RvYy54bWxQSwUGAAAAAAYA&#10;BgBZAQAAhAUAAAAA&#10;">
                <v:fill on="f" focussize="0,0"/>
                <v:stroke weight="2.00196850393701pt" color="#FC0011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0"/>
          <w:sz w:val="44"/>
          <w:szCs w:val="44"/>
          <w:lang w:val="en-US" w:eastAsia="zh-CN"/>
        </w:rPr>
        <w:t>关于聘任台前县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0"/>
          <w:sz w:val="44"/>
          <w:szCs w:val="44"/>
          <w:lang w:val="en-US" w:eastAsia="zh-CN"/>
        </w:rPr>
        <w:t>涉企商事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0"/>
          <w:sz w:val="44"/>
          <w:szCs w:val="44"/>
          <w:lang w:val="en-US" w:eastAsia="zh-CN"/>
        </w:rPr>
        <w:t>纠纷调解员的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0"/>
          <w:sz w:val="44"/>
          <w:szCs w:val="44"/>
          <w:lang w:val="en-US" w:eastAsia="zh-CN"/>
        </w:rPr>
        <w:t>决   定</w:t>
      </w:r>
    </w:p>
    <w:p>
      <w:pPr>
        <w:spacing w:line="360" w:lineRule="auto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sz w:val="32"/>
          <w:lang w:eastAsia="zh-CN"/>
        </w:rPr>
        <w:t>为深入推进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民营企业商事纠纷</w:t>
      </w: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sz w:val="32"/>
          <w:lang w:eastAsia="zh-CN"/>
        </w:rPr>
        <w:t>多元化解机制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spacing w:val="6"/>
          <w:sz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，充分发挥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商协会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在新时代预防和化解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涉企商事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矛盾纠纷中的独特优势，满足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涉企商事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纠纷多元化解需要，根据“自愿申请、严格审核、择优选聘”的原则，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结合我县人民法院、县工商业联合会关于多元化解企业纠纷诉调对接工作实际，经县人民法院、县工商业联合会研究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聘任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白宗仓等13名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同志为台前县涉企商事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纠纷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调解员。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希望受聘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涉企商事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纠纷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调解员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，充分发挥在能力素质、专业技能、实践经验等方面的独特优势，积极参与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法律宣传、法律援助、涉企商事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纠纷调解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助力打造一流营商环境，为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维护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当事人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合法权益，促进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我县经济高质量发展、社会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和谐稳定作出新的贡献。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4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40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adjustRightInd w:val="0"/>
        <w:snapToGrid w:val="0"/>
        <w:spacing w:line="592" w:lineRule="exact"/>
        <w:jc w:val="center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台前县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人民法院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台前县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工商业联合会</w:t>
      </w:r>
    </w:p>
    <w:p>
      <w:pPr>
        <w:wordWrap w:val="0"/>
        <w:adjustRightInd w:val="0"/>
        <w:snapToGrid w:val="0"/>
        <w:spacing w:line="592" w:lineRule="exact"/>
        <w:jc w:val="right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</w:p>
    <w:p>
      <w:pPr>
        <w:wordWrap w:val="0"/>
        <w:adjustRightInd w:val="0"/>
        <w:snapToGrid w:val="0"/>
        <w:spacing w:line="592" w:lineRule="exact"/>
        <w:jc w:val="right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</w:p>
    <w:p>
      <w:pPr>
        <w:wordWrap w:val="0"/>
        <w:adjustRightInd w:val="0"/>
        <w:snapToGrid w:val="0"/>
        <w:spacing w:line="592" w:lineRule="exact"/>
        <w:jc w:val="right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 xml:space="preserve"> 2022年</w:t>
      </w: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 xml:space="preserve">    </w:t>
      </w:r>
    </w:p>
    <w:p>
      <w:pPr>
        <w:adjustRightInd w:val="0"/>
        <w:snapToGrid w:val="0"/>
        <w:spacing w:line="592" w:lineRule="exact"/>
        <w:ind w:firstLine="704" w:firstLineChars="200"/>
        <w:rPr>
          <w:rFonts w:hint="eastAsia" w:ascii="仿宋_GB2312" w:hAnsi="Times New Roman" w:eastAsia="仿宋_GB2312"/>
          <w:spacing w:val="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tbl>
      <w:tblPr>
        <w:tblStyle w:val="9"/>
        <w:tblpPr w:leftFromText="180" w:rightFromText="180" w:vertAnchor="text" w:horzAnchor="page" w:tblpX="1700" w:tblpY="383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台前县人民法院办公室                2022年8月19日印发</w:t>
            </w:r>
          </w:p>
        </w:tc>
      </w:tr>
    </w:tbl>
    <w:p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附件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：台前县涉企商事纠纷调解员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白宗仓           联系方式       13721796665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宁兆河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联系方式       13839381058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郭振景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联系方式       15839330786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郑怀亮           联系方式       15954927666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乐           联系方式       18553388483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刘广勇           联系方式       15066992999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赵纪安           联系方式       15738049999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徐兴新           联系方式       13503939506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王长振           联系方式       18439330123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黄继锁           联系方式       13839278888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聂贵秋           联系方式       13523938012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仝胜利           联系方式       18865112345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武继亭           联系方式       15083261555</w:t>
      </w:r>
    </w:p>
    <w:sectPr>
      <w:headerReference r:id="rId3" w:type="default"/>
      <w:footerReference r:id="rId4" w:type="default"/>
      <w:pgSz w:w="11906" w:h="16838"/>
      <w:pgMar w:top="2211" w:right="1531" w:bottom="1701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ACB012-3943-4547-AE37-346336D8E4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7ABABE-6969-4899-B5E2-862CF89C6F98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3AC00EEA-EF13-412F-B816-21F2DB93D7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28A5C4-5BAD-4F92-B33F-9D4773B158A0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  <w:embedRegular r:id="rId5" w:fontKey="{66C3DA7E-A929-4C90-939A-81810FC08C2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D0E0F3DF-AEFC-43F0-9D2D-0AF374BDD2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91CAA11-A4BF-4DB0-9C92-901665C3F522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8" w:fontKey="{36E992E6-9F39-454E-86B0-5D5E44928DDD}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繁古印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152"/>
        <w:tab w:val="clear" w:pos="4153"/>
      </w:tabs>
      <w:rPr>
        <w:rFonts w:hint="default" w:eastAsia="宋体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5313680</wp:posOffset>
              </wp:positionH>
              <wp:positionV relativeFrom="paragraph">
                <wp:posOffset>93345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4pt;margin-top:7.3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Rfm2E9gAAAALAQAADwAAAAAAAAABACAAAAAiAAAAZHJzL2Rvd25yZXYueG1s&#10;UEsBAhQAFAAAAAgAh07iQF/Ipr3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</wp:posOffset>
              </wp:positionV>
              <wp:extent cx="790575" cy="396875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-0.8pt;height:31.25pt;width:62.25pt;mso-position-horizontal:outside;mso-position-horizontal-relative:margin;z-index:251661312;mso-width-relative:page;mso-height-relative:page;" filled="f" stroked="f" coordsize="21600,21600" o:gfxdata="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nGHN7XAAAABgEAAA8AAAAAAAAAAQAgAAAAIgAAAGRycy9kb3ducmV2LnhtbFBLAQIUABQAAAAI&#10;AIdO4kA9lbigtQEAAGgDAAAOAAAAAAAAAAEAIAAAACY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黑体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3915410</wp:posOffset>
              </wp:positionH>
              <wp:positionV relativeFrom="paragraph">
                <wp:posOffset>0</wp:posOffset>
              </wp:positionV>
              <wp:extent cx="228600" cy="762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left:308.3pt;margin-top:0pt;height:6pt;width:18pt;mso-position-horizontal-relative:margin;z-index:251660288;mso-width-relative:page;mso-height-relative:page;" filled="f" stroked="f" coordsize="21600,21600" o:gfxdata="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VW&#10;tnjWAAAABwEAAA8AAAAAAAAAAQAgAAAAIgAAAGRycy9kb3ducmV2LnhtbFBLAQIUABQAAAAIAIdO&#10;4kDDtyDBswEAAGcDAAAOAAAAAAAAAAEAIAAAACU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zFiYTc1N2M5MWVkYTI1NDUxZGQ2ZmEzM2I3MDIifQ=="/>
  </w:docVars>
  <w:rsids>
    <w:rsidRoot w:val="00000000"/>
    <w:rsid w:val="00133A48"/>
    <w:rsid w:val="00BF1292"/>
    <w:rsid w:val="026059E6"/>
    <w:rsid w:val="035F1C90"/>
    <w:rsid w:val="056D353A"/>
    <w:rsid w:val="071F6FED"/>
    <w:rsid w:val="0785795E"/>
    <w:rsid w:val="08694E55"/>
    <w:rsid w:val="096818C7"/>
    <w:rsid w:val="0AA12F79"/>
    <w:rsid w:val="0CEA0E58"/>
    <w:rsid w:val="0E2C47FC"/>
    <w:rsid w:val="0F3D7D45"/>
    <w:rsid w:val="0F5B2A82"/>
    <w:rsid w:val="1016361E"/>
    <w:rsid w:val="138228A6"/>
    <w:rsid w:val="14E76EC3"/>
    <w:rsid w:val="17153FB3"/>
    <w:rsid w:val="17790FF6"/>
    <w:rsid w:val="17D0237B"/>
    <w:rsid w:val="1A710772"/>
    <w:rsid w:val="1BD37065"/>
    <w:rsid w:val="20DE4F6F"/>
    <w:rsid w:val="25BE7351"/>
    <w:rsid w:val="27C236BD"/>
    <w:rsid w:val="2A704DAF"/>
    <w:rsid w:val="2BD33847"/>
    <w:rsid w:val="2D3B7B1A"/>
    <w:rsid w:val="2E7C00AA"/>
    <w:rsid w:val="3418136A"/>
    <w:rsid w:val="342E406C"/>
    <w:rsid w:val="35A746CB"/>
    <w:rsid w:val="36141EE0"/>
    <w:rsid w:val="365939D9"/>
    <w:rsid w:val="384A07FE"/>
    <w:rsid w:val="38922E67"/>
    <w:rsid w:val="393C0411"/>
    <w:rsid w:val="39623158"/>
    <w:rsid w:val="399565E0"/>
    <w:rsid w:val="3AB13794"/>
    <w:rsid w:val="3D5E0D9C"/>
    <w:rsid w:val="401C35B7"/>
    <w:rsid w:val="404F14DD"/>
    <w:rsid w:val="41011906"/>
    <w:rsid w:val="41FB2AAF"/>
    <w:rsid w:val="423C13BE"/>
    <w:rsid w:val="42DE7F33"/>
    <w:rsid w:val="46901CDE"/>
    <w:rsid w:val="47883207"/>
    <w:rsid w:val="487466ED"/>
    <w:rsid w:val="4A7964DB"/>
    <w:rsid w:val="4C1321C5"/>
    <w:rsid w:val="514919E4"/>
    <w:rsid w:val="54E104D3"/>
    <w:rsid w:val="54F144B0"/>
    <w:rsid w:val="55BC1C2D"/>
    <w:rsid w:val="5645250D"/>
    <w:rsid w:val="566B724D"/>
    <w:rsid w:val="56D83E56"/>
    <w:rsid w:val="58AF2E2A"/>
    <w:rsid w:val="5AB6394F"/>
    <w:rsid w:val="5ACB5E67"/>
    <w:rsid w:val="5B8B67FA"/>
    <w:rsid w:val="5CFA0384"/>
    <w:rsid w:val="5EAC36EF"/>
    <w:rsid w:val="5F6C5E85"/>
    <w:rsid w:val="60D60EE3"/>
    <w:rsid w:val="61BF394A"/>
    <w:rsid w:val="620448B7"/>
    <w:rsid w:val="62FC4799"/>
    <w:rsid w:val="636142E5"/>
    <w:rsid w:val="63F705D3"/>
    <w:rsid w:val="64282D9E"/>
    <w:rsid w:val="6772652C"/>
    <w:rsid w:val="68522F5F"/>
    <w:rsid w:val="6AF71A7C"/>
    <w:rsid w:val="6B601B3A"/>
    <w:rsid w:val="6F83245B"/>
    <w:rsid w:val="71C4691B"/>
    <w:rsid w:val="727F6437"/>
    <w:rsid w:val="73397174"/>
    <w:rsid w:val="75553A41"/>
    <w:rsid w:val="79C93160"/>
    <w:rsid w:val="7A1F1469"/>
    <w:rsid w:val="7D732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4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qFormat/>
    <w:uiPriority w:val="9"/>
    <w:pPr>
      <w:keepNext/>
      <w:keepLines/>
      <w:outlineLvl w:val="2"/>
    </w:pPr>
    <w:rPr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484</Words>
  <Characters>626</Characters>
  <Lines>0</Lines>
  <Paragraphs>0</Paragraphs>
  <TotalTime>3</TotalTime>
  <ScaleCrop>false</ScaleCrop>
  <LinksUpToDate>false</LinksUpToDate>
  <CharactersWithSpaces>911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zly</dc:creator>
  <cp:lastModifiedBy>@璐寶</cp:lastModifiedBy>
  <cp:lastPrinted>2022-06-16T02:30:00Z</cp:lastPrinted>
  <dcterms:modified xsi:type="dcterms:W3CDTF">2022-08-19T01:44:08Z</dcterms:modified>
  <dc:title>濮阳市总工会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7368EBCE5BEB4322BE2D62B6D23879CB</vt:lpwstr>
  </property>
</Properties>
</file>